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3DBE838" w:rsidR="00D309CC" w:rsidRDefault="00D309CC" w:rsidP="00D46431">
      <w:pPr>
        <w:pStyle w:val="CH"/>
      </w:pPr>
      <w:bookmarkStart w:id="0" w:name="historyclause"/>
      <w:r>
        <w:t xml:space="preserve">3GPP </w:t>
      </w:r>
      <w:r w:rsidR="00595C50">
        <w:t>RAN</w:t>
      </w:r>
      <w:r>
        <w:t xml:space="preserve"> Meeting </w:t>
      </w:r>
      <w:r w:rsidR="00595C50">
        <w:t>#1</w:t>
      </w:r>
      <w:r w:rsidR="00D47A6C">
        <w:t>09</w:t>
      </w:r>
      <w:r>
        <w:tab/>
      </w:r>
      <w:r w:rsidR="00D46431">
        <w:tab/>
      </w:r>
      <w:r w:rsidR="007B5C1E" w:rsidRPr="007B5C1E">
        <w:t>RP-252451</w:t>
      </w:r>
    </w:p>
    <w:p w14:paraId="50DC9730" w14:textId="281851F4" w:rsidR="00D309CC" w:rsidRPr="00FD166F" w:rsidRDefault="00D47A6C" w:rsidP="00D46431">
      <w:pPr>
        <w:pStyle w:val="CH"/>
        <w:tabs>
          <w:tab w:val="clear" w:pos="7920"/>
        </w:tabs>
        <w:rPr>
          <w:b w:val="0"/>
        </w:rPr>
      </w:pPr>
      <w:r>
        <w:t>Beijing</w:t>
      </w:r>
      <w:r w:rsidR="00595C50">
        <w:t xml:space="preserve">, </w:t>
      </w:r>
      <w:r>
        <w:t>China</w:t>
      </w:r>
      <w:r w:rsidR="00086E33">
        <w:t>,</w:t>
      </w:r>
      <w:r w:rsidR="00595C50">
        <w:t xml:space="preserve"> </w:t>
      </w:r>
      <w:r>
        <w:t>15</w:t>
      </w:r>
      <w:r w:rsidR="006875C3">
        <w:t xml:space="preserve">th – </w:t>
      </w:r>
      <w:r>
        <w:t>18</w:t>
      </w:r>
      <w:r w:rsidR="00795FBD">
        <w:t xml:space="preserve">th </w:t>
      </w:r>
      <w:r>
        <w:t>September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68F87DB5" w:rsidR="00D309CC" w:rsidRPr="00595C50" w:rsidRDefault="00D309CC" w:rsidP="00D309CC">
      <w:pPr>
        <w:pStyle w:val="CH"/>
        <w:rPr>
          <w:lang w:val="en-US"/>
        </w:rPr>
      </w:pPr>
      <w:r w:rsidRPr="0008103A">
        <w:t>Agenda item:</w:t>
      </w:r>
      <w:r>
        <w:tab/>
      </w:r>
      <w:r w:rsidR="00D47A6C" w:rsidRPr="00D47A6C">
        <w:rPr>
          <w:lang w:val="en-US"/>
        </w:rPr>
        <w:t>9.1.4.1</w:t>
      </w:r>
    </w:p>
    <w:p w14:paraId="4DBE005A" w14:textId="3BD9E58D" w:rsidR="00D309CC" w:rsidRPr="0008103A" w:rsidRDefault="00D309CC" w:rsidP="00D309CC">
      <w:pPr>
        <w:pStyle w:val="CH"/>
        <w:rPr>
          <w:b w:val="0"/>
        </w:rPr>
      </w:pPr>
      <w:r>
        <w:t>Source:</w:t>
      </w:r>
      <w:r>
        <w:tab/>
        <w:t>Apple</w:t>
      </w:r>
    </w:p>
    <w:p w14:paraId="0D2061A1" w14:textId="5846EB4F" w:rsidR="00D309CC" w:rsidRPr="00595C50" w:rsidRDefault="00D309CC" w:rsidP="00A16799">
      <w:pPr>
        <w:pStyle w:val="CH"/>
        <w:ind w:left="2260" w:hanging="2260"/>
        <w:rPr>
          <w:lang w:val="en-US"/>
        </w:rPr>
      </w:pPr>
      <w:r w:rsidRPr="0008103A">
        <w:t>Title:</w:t>
      </w:r>
      <w:r w:rsidRPr="0008103A">
        <w:tab/>
      </w:r>
      <w:r w:rsidR="00D47A6C" w:rsidRPr="00D47A6C">
        <w:rPr>
          <w:lang w:val="en-US"/>
        </w:rPr>
        <w:t>Views on the UE RF enhancements for Rel-20 5G-A</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7C55F7D0" w:rsidR="00B27FEE" w:rsidRDefault="00615481" w:rsidP="00F90B9E">
      <w:r>
        <w:t xml:space="preserve">As discussed during the RAN#108 meeting, RAN WG4 will </w:t>
      </w:r>
      <w:r w:rsidR="00E52604">
        <w:t>discuss</w:t>
      </w:r>
      <w:r>
        <w:t xml:space="preserve"> further </w:t>
      </w:r>
      <w:r w:rsidR="00E52604">
        <w:t>potential</w:t>
      </w:r>
      <w:r>
        <w:t xml:space="preserve"> </w:t>
      </w:r>
      <w:r w:rsidR="00E52604">
        <w:t>UE RF enhancements</w:t>
      </w:r>
      <w:r w:rsidR="00D47A6C">
        <w:t xml:space="preserve"> that</w:t>
      </w:r>
      <w:r w:rsidR="00E52604">
        <w:t xml:space="preserve"> </w:t>
      </w:r>
      <w:r w:rsidR="00D47A6C">
        <w:t>includes</w:t>
      </w:r>
      <w:r w:rsidR="00E52604">
        <w:t xml:space="preserve"> </w:t>
      </w:r>
      <w:r w:rsidR="00D47A6C">
        <w:t>potential</w:t>
      </w:r>
      <w:r w:rsidR="00E52604">
        <w:t xml:space="preserve"> high-power UE </w:t>
      </w:r>
      <w:r w:rsidR="00D47A6C">
        <w:t>improvements</w:t>
      </w:r>
      <w:r w:rsidR="00E52604">
        <w:t>.</w:t>
      </w:r>
      <w:r>
        <w:t xml:space="preserve"> </w:t>
      </w:r>
      <w:proofErr w:type="gramStart"/>
      <w:r w:rsidR="00E52604">
        <w:t>In particular, it</w:t>
      </w:r>
      <w:proofErr w:type="gramEnd"/>
      <w:r w:rsidR="00E52604">
        <w:t xml:space="preserve"> was discussed</w:t>
      </w:r>
      <w:r>
        <w:t xml:space="preserve"> </w:t>
      </w:r>
      <w:r w:rsidR="00E52604">
        <w:t xml:space="preserve">further enhancements for the </w:t>
      </w:r>
      <w:r>
        <w:t xml:space="preserve">29dBm power class </w:t>
      </w:r>
      <w:r w:rsidR="00E52604">
        <w:t>to extend its applicability to the FDD bands consider</w:t>
      </w:r>
      <w:r w:rsidR="00D47A6C">
        <w:t>ing</w:t>
      </w:r>
      <w:r w:rsidR="00E52604">
        <w:t xml:space="preserve"> a completely new 1Tx architecture for this power class</w:t>
      </w:r>
      <w:r>
        <w:t xml:space="preserve">. Thus, in </w:t>
      </w:r>
      <w:r w:rsidR="00FE7BFF">
        <w:t xml:space="preserve">this discussion paper we present our </w:t>
      </w:r>
      <w:r w:rsidR="00687C93">
        <w:t>general</w:t>
      </w:r>
      <w:r>
        <w:t xml:space="preserve"> view on</w:t>
      </w:r>
      <w:r w:rsidR="00FE7BFF">
        <w:t xml:space="preserve"> </w:t>
      </w:r>
      <w:r w:rsidR="00E52604">
        <w:t xml:space="preserve">further </w:t>
      </w:r>
      <w:r>
        <w:t>technical</w:t>
      </w:r>
      <w:r w:rsidR="00FE7BFF">
        <w:t xml:space="preserve"> </w:t>
      </w:r>
      <w:r w:rsidR="00E52604">
        <w:t>aspects</w:t>
      </w:r>
      <w:r w:rsidR="00FE7BFF">
        <w:t xml:space="preserve"> associated with the existing 29dBm power class</w:t>
      </w:r>
      <w:r w:rsidR="005F15D3">
        <w:t>,</w:t>
      </w:r>
      <w:r w:rsidR="00FE7BFF">
        <w:t xml:space="preserve"> </w:t>
      </w:r>
      <w:r>
        <w:t>which can be addressed in the corresponding</w:t>
      </w:r>
      <w:r w:rsidR="00FE7BFF">
        <w:t xml:space="preserve"> Rel-20 WI. </w:t>
      </w:r>
    </w:p>
    <w:p w14:paraId="3A67921B" w14:textId="1276B2D4" w:rsidR="008E7986" w:rsidRDefault="008E7986" w:rsidP="008E7986">
      <w:pPr>
        <w:pStyle w:val="Heading1"/>
      </w:pPr>
      <w:r>
        <w:t>2</w:t>
      </w:r>
      <w:r>
        <w:tab/>
      </w:r>
      <w:r w:rsidR="00B845A4">
        <w:t>Discussion</w:t>
      </w:r>
    </w:p>
    <w:p w14:paraId="1F3D0193" w14:textId="58E4B3BF" w:rsidR="009275BD" w:rsidRDefault="009275BD" w:rsidP="009275BD">
      <w:pPr>
        <w:jc w:val="both"/>
      </w:pPr>
      <w:r>
        <w:t xml:space="preserve">During the previous RAN WG4 meetings companies discussed which power classes should be considered </w:t>
      </w:r>
      <w:r w:rsidR="00E52604">
        <w:t xml:space="preserve">for </w:t>
      </w:r>
      <w:r>
        <w:t xml:space="preserve">further </w:t>
      </w:r>
      <w:r w:rsidR="00E52604">
        <w:t>enhancements</w:t>
      </w:r>
      <w:r>
        <w:t xml:space="preserve"> and under which UE RF architecture assumptions. It is worth noting that the existing power class 3 </w:t>
      </w:r>
      <w:r w:rsidR="00AA6CE7">
        <w:t>has</w:t>
      </w:r>
      <w:r>
        <w:t xml:space="preserve"> 1TX architecture </w:t>
      </w:r>
      <w:r w:rsidR="00E52604">
        <w:t>(</w:t>
      </w:r>
      <w:r>
        <w:t>that is common for both terrestrial and satellite FDD bands</w:t>
      </w:r>
      <w:r w:rsidR="00E52604">
        <w:t>)</w:t>
      </w:r>
      <w:r>
        <w:t xml:space="preserve">. </w:t>
      </w:r>
      <w:r w:rsidR="00E52604">
        <w:t>The PC2 class has both 1Tx and 2Tx architectures</w:t>
      </w:r>
      <w:r w:rsidR="00D47A6C">
        <w:t>;</w:t>
      </w:r>
      <w:r w:rsidR="00E52604">
        <w:t xml:space="preserve"> and as per latest Rel-19 specifications</w:t>
      </w:r>
      <w:r w:rsidR="00D47A6C">
        <w:t>,</w:t>
      </w:r>
      <w:r w:rsidR="00E52604">
        <w:t xml:space="preserve"> </w:t>
      </w:r>
      <w:r w:rsidR="00D47A6C">
        <w:t>PC2</w:t>
      </w:r>
      <w:r w:rsidR="00E52604">
        <w:t xml:space="preserve"> </w:t>
      </w:r>
      <w:r w:rsidR="00D47A6C">
        <w:t>is</w:t>
      </w:r>
      <w:r w:rsidR="00E52604">
        <w:t xml:space="preserve"> enabled for both terrestrial and satellite bands. </w:t>
      </w:r>
    </w:p>
    <w:p w14:paraId="5185F87B" w14:textId="56B47D0E" w:rsidR="00E52604" w:rsidRDefault="00E52604" w:rsidP="00B300EC">
      <w:pPr>
        <w:pStyle w:val="Observation"/>
      </w:pPr>
      <w:r>
        <w:t>Observation 1:</w:t>
      </w:r>
      <w:r>
        <w:tab/>
        <w:t>Existing PC3 and PC2 power classes are applicable to both TDD and FDD bands covering both satellite and terrestrial bands.</w:t>
      </w:r>
    </w:p>
    <w:p w14:paraId="402D11E3" w14:textId="55A276E6" w:rsidR="00E52604" w:rsidRDefault="00E52604" w:rsidP="00B300EC">
      <w:r>
        <w:t xml:space="preserve">On the contrary to that, existing PC1.5 power class exists only as the 2Tx architecture and can be enabled only to the TDD bands. That was one of the reasons why PC1.5 was not initially enabled for the satellite handheld devices in Rel-19 and was later dropped completely from the Rel-19 scope. Nevertheless, it triggered a lot of discussions on whether PC1.5 can be enabled for the FDD bands and if so, why not to enable it for both FDD terrestrial and satellite bands. </w:t>
      </w:r>
      <w:r w:rsidR="00B300EC">
        <w:t xml:space="preserve">In fact, enabling 2Tx PC1.5 architecture for the FDD bands can be one of the major options leveraging existing implementations and practical deployments of PC1.5 in the TDD bands. There were also discussions on whether it would be possible to consider 29dBm power class based on the 1TX architecture. However, companies </w:t>
      </w:r>
      <w:proofErr w:type="gramStart"/>
      <w:r w:rsidR="00B300EC">
        <w:t>were not able to</w:t>
      </w:r>
      <w:proofErr w:type="gramEnd"/>
      <w:r w:rsidR="00B300EC">
        <w:t xml:space="preserve"> conclude on availability of the corresponding PA</w:t>
      </w:r>
      <w:r w:rsidR="00D47A6C">
        <w:t>s</w:t>
      </w:r>
      <w:r w:rsidR="00B300EC">
        <w:t xml:space="preserve"> for the portable and handheld devices, which in turn might require further discussions on how it will work in FDD and TDD bands. </w:t>
      </w:r>
    </w:p>
    <w:p w14:paraId="083E6225" w14:textId="5772DCDC" w:rsidR="00B300EC" w:rsidRDefault="00B300EC" w:rsidP="00B300EC">
      <w:pPr>
        <w:pStyle w:val="Observation"/>
      </w:pPr>
      <w:r>
        <w:t>Observation 2a:</w:t>
      </w:r>
      <w:r>
        <w:tab/>
        <w:t xml:space="preserve">Existing PC1.5 is defined only for the TDD bands as the 2Tx architecture. </w:t>
      </w:r>
    </w:p>
    <w:p w14:paraId="64555225" w14:textId="1567E53A" w:rsidR="00B300EC" w:rsidRDefault="00B300EC" w:rsidP="00B300EC">
      <w:pPr>
        <w:pStyle w:val="Observation"/>
      </w:pPr>
      <w:r>
        <w:t>Observation 2b:</w:t>
      </w:r>
      <w:r>
        <w:tab/>
        <w:t>It seems beneficial to enable 2Tx PC1.5 for FDD bands covering both terrestrial and satellite deployments.</w:t>
      </w:r>
    </w:p>
    <w:p w14:paraId="2064F58F" w14:textId="4A376BFB" w:rsidR="00B300EC" w:rsidRDefault="00B300EC" w:rsidP="00B300EC">
      <w:pPr>
        <w:pStyle w:val="Observation"/>
      </w:pPr>
      <w:r>
        <w:t>Observation 2c:</w:t>
      </w:r>
      <w:r>
        <w:tab/>
        <w:t>1Tx PC1.5 can be studied further accounting for the practical issues and challenging for TDD and FDD bands.</w:t>
      </w:r>
    </w:p>
    <w:p w14:paraId="697F7592" w14:textId="77777777" w:rsidR="00616B10" w:rsidRDefault="00616B10" w:rsidP="007961F1">
      <w:pPr>
        <w:jc w:val="both"/>
      </w:pPr>
    </w:p>
    <w:p w14:paraId="25A4ECC1" w14:textId="27D1416E" w:rsidR="009275BD" w:rsidRDefault="00616B10" w:rsidP="007961F1">
      <w:pPr>
        <w:jc w:val="both"/>
      </w:pPr>
      <w:r>
        <w:t xml:space="preserve">It bears mentioning that PC1.5 enhancements and solutions should be ideally common for </w:t>
      </w:r>
      <w:r w:rsidR="00D47A6C">
        <w:t xml:space="preserve">both </w:t>
      </w:r>
      <w:r>
        <w:t>TDD and FDD bands</w:t>
      </w:r>
      <w:r w:rsidR="00D47A6C">
        <w:t>, whereupon once enabled for the FDD bands it should also</w:t>
      </w:r>
      <w:r>
        <w:t xml:space="preserve"> </w:t>
      </w:r>
      <w:r w:rsidR="00D47A6C">
        <w:t>cover</w:t>
      </w:r>
      <w:r>
        <w:t xml:space="preserve"> both terrestrial and satellite bands. Since a UE may support a wide range of terrestrial and satellite bands working in both FDD and TDD modes, as it already does with the terrestrial bands, further PC1.5 enhancements should be considered in the context of different deployment cases.  </w:t>
      </w:r>
      <w:r w:rsidR="00AA6CE7">
        <w:t xml:space="preserve"> </w:t>
      </w:r>
    </w:p>
    <w:p w14:paraId="01635544" w14:textId="0496C2C4" w:rsidR="00B300EC" w:rsidRDefault="00B300EC" w:rsidP="00B300EC">
      <w:pPr>
        <w:pStyle w:val="Observation"/>
      </w:pPr>
      <w:r>
        <w:t>Observation 3:</w:t>
      </w:r>
      <w:r>
        <w:tab/>
        <w:t>It is important to ensure that PC1.5 enhancements are introduced as a common framework that can be applied to both TDD/FDD bands</w:t>
      </w:r>
      <w:r w:rsidR="00D47A6C">
        <w:t>; and in case of FDD it should be applicable to both terrestrial and satellite bands</w:t>
      </w:r>
      <w:r>
        <w:t>.</w:t>
      </w:r>
    </w:p>
    <w:p w14:paraId="0DBD68B3" w14:textId="7818B262" w:rsidR="009275BD" w:rsidRDefault="009275BD" w:rsidP="009275BD"/>
    <w:p w14:paraId="44D8420C" w14:textId="78070AB7" w:rsidR="0027349B" w:rsidRDefault="0027349B" w:rsidP="0027349B"/>
    <w:p w14:paraId="06908B32" w14:textId="4F58583A"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w:t>
      </w:r>
      <w:r w:rsidR="0079755B">
        <w:t xml:space="preserve"> </w:t>
      </w:r>
      <w:r w:rsidR="007961F1">
        <w:t>1</w:t>
      </w:r>
      <w:r>
        <w:t>:</w:t>
      </w:r>
      <w:r>
        <w:tab/>
      </w:r>
      <w:bookmarkEnd w:id="1"/>
      <w:bookmarkEnd w:id="2"/>
      <w:bookmarkEnd w:id="3"/>
      <w:bookmarkEnd w:id="4"/>
      <w:bookmarkEnd w:id="5"/>
      <w:r w:rsidR="00AA6CE7">
        <w:t>For</w:t>
      </w:r>
      <w:r w:rsidR="00F90B9E">
        <w:t xml:space="preserve"> Rel-20</w:t>
      </w:r>
      <w:r w:rsidR="00AA6CE7">
        <w:t>,</w:t>
      </w:r>
      <w:r w:rsidR="00F90B9E">
        <w:t xml:space="preserve"> </w:t>
      </w:r>
      <w:r w:rsidR="00AA6CE7">
        <w:t>consider</w:t>
      </w:r>
      <w:r w:rsidR="00F90B9E">
        <w:t xml:space="preserve"> </w:t>
      </w:r>
      <w:r w:rsidR="00B300EC">
        <w:t>further</w:t>
      </w:r>
      <w:r w:rsidR="00AA6CE7">
        <w:t xml:space="preserve"> </w:t>
      </w:r>
      <w:r w:rsidR="00B300EC">
        <w:t>enhancements</w:t>
      </w:r>
      <w:r w:rsidR="00F90B9E">
        <w:t xml:space="preserve"> </w:t>
      </w:r>
      <w:r w:rsidR="00B300EC">
        <w:t xml:space="preserve">for PC1.5 </w:t>
      </w:r>
      <w:r w:rsidR="00F90B9E">
        <w:t xml:space="preserve">29dBm power class </w:t>
      </w:r>
      <w:r w:rsidR="00B300EC">
        <w:t>enabling it for</w:t>
      </w:r>
      <w:r w:rsidR="00F90B9E">
        <w:t xml:space="preserve"> </w:t>
      </w:r>
      <w:r w:rsidR="00B300EC">
        <w:t xml:space="preserve">the FDD bands. </w:t>
      </w:r>
    </w:p>
    <w:p w14:paraId="5ABE3F35" w14:textId="112CD93E" w:rsidR="003E0198" w:rsidRDefault="003E0198" w:rsidP="0027349B">
      <w:pPr>
        <w:pStyle w:val="Proposal"/>
      </w:pPr>
      <w:r>
        <w:t>Proposal 2:</w:t>
      </w:r>
      <w:r>
        <w:tab/>
      </w:r>
      <w:r w:rsidR="00AA6CE7">
        <w:t>There can be</w:t>
      </w:r>
      <w:r>
        <w:t xml:space="preserve"> a study phase to conclude on which architectural options(s)</w:t>
      </w:r>
      <w:r w:rsidR="00B300EC">
        <w:t>, 2Tx and 1Tx,</w:t>
      </w:r>
      <w:r>
        <w:t xml:space="preserve"> can be suitable for </w:t>
      </w:r>
      <w:r w:rsidR="00616B10">
        <w:t xml:space="preserve">further PC1.5 enhancements. </w:t>
      </w:r>
    </w:p>
    <w:p w14:paraId="342C840E" w14:textId="22801283" w:rsidR="00616B10" w:rsidRDefault="00616B10" w:rsidP="0027349B">
      <w:pPr>
        <w:pStyle w:val="Proposal"/>
      </w:pPr>
      <w:r>
        <w:t>Proposal 3:</w:t>
      </w:r>
      <w:r>
        <w:tab/>
        <w:t>PC1.5 enhancements should be common for both TDD and FDD bands so that it can be enabled for terrestrial and satellite communication.</w:t>
      </w:r>
    </w:p>
    <w:p w14:paraId="5D2DDC34" w14:textId="2B052426" w:rsidR="005E69AE" w:rsidRDefault="0027349B" w:rsidP="005E69AE">
      <w:pPr>
        <w:pStyle w:val="Heading1"/>
      </w:pPr>
      <w:r>
        <w:t>3</w:t>
      </w:r>
      <w:r w:rsidR="005E69AE">
        <w:tab/>
        <w:t>References</w:t>
      </w:r>
    </w:p>
    <w:bookmarkEnd w:id="0"/>
    <w:p w14:paraId="543D1CC3" w14:textId="3244CFFF" w:rsidR="00B27FEE" w:rsidRDefault="00B27FEE" w:rsidP="00E52604">
      <w:pPr>
        <w:pStyle w:val="EX"/>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3D32" w14:textId="77777777" w:rsidR="00AD6CD5" w:rsidRDefault="00AD6CD5">
      <w:r>
        <w:separator/>
      </w:r>
    </w:p>
  </w:endnote>
  <w:endnote w:type="continuationSeparator" w:id="0">
    <w:p w14:paraId="72D70DE1" w14:textId="77777777" w:rsidR="00AD6CD5" w:rsidRDefault="00AD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A3C4" w14:textId="77777777" w:rsidR="00AD6CD5" w:rsidRDefault="00AD6CD5">
      <w:r>
        <w:separator/>
      </w:r>
    </w:p>
  </w:footnote>
  <w:footnote w:type="continuationSeparator" w:id="0">
    <w:p w14:paraId="4C37F50C" w14:textId="77777777" w:rsidR="00AD6CD5" w:rsidRDefault="00AD6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744E"/>
    <w:rsid w:val="001A4C42"/>
    <w:rsid w:val="001B4EF5"/>
    <w:rsid w:val="001C21C3"/>
    <w:rsid w:val="001D02C2"/>
    <w:rsid w:val="001D3A29"/>
    <w:rsid w:val="001E1FFA"/>
    <w:rsid w:val="001E2BCF"/>
    <w:rsid w:val="001F0C1D"/>
    <w:rsid w:val="001F1132"/>
    <w:rsid w:val="001F168B"/>
    <w:rsid w:val="001F3CDB"/>
    <w:rsid w:val="001F718D"/>
    <w:rsid w:val="002121CB"/>
    <w:rsid w:val="00217D19"/>
    <w:rsid w:val="002347A2"/>
    <w:rsid w:val="00234FFD"/>
    <w:rsid w:val="00245BAB"/>
    <w:rsid w:val="00247926"/>
    <w:rsid w:val="00252882"/>
    <w:rsid w:val="002675F0"/>
    <w:rsid w:val="0027349B"/>
    <w:rsid w:val="00276EE4"/>
    <w:rsid w:val="002A1EDC"/>
    <w:rsid w:val="002B6339"/>
    <w:rsid w:val="002C233F"/>
    <w:rsid w:val="002C2EC5"/>
    <w:rsid w:val="002E00EE"/>
    <w:rsid w:val="002E350A"/>
    <w:rsid w:val="002F0C22"/>
    <w:rsid w:val="003172DC"/>
    <w:rsid w:val="00317AC7"/>
    <w:rsid w:val="0034052F"/>
    <w:rsid w:val="0035462D"/>
    <w:rsid w:val="003765B8"/>
    <w:rsid w:val="0037688C"/>
    <w:rsid w:val="003A0483"/>
    <w:rsid w:val="003A0A0B"/>
    <w:rsid w:val="003C3971"/>
    <w:rsid w:val="003E0198"/>
    <w:rsid w:val="003E0E54"/>
    <w:rsid w:val="003E7753"/>
    <w:rsid w:val="004205CB"/>
    <w:rsid w:val="00423334"/>
    <w:rsid w:val="004345EC"/>
    <w:rsid w:val="004826A9"/>
    <w:rsid w:val="00491484"/>
    <w:rsid w:val="004C1601"/>
    <w:rsid w:val="004C7552"/>
    <w:rsid w:val="004D3578"/>
    <w:rsid w:val="004E213A"/>
    <w:rsid w:val="004E27ED"/>
    <w:rsid w:val="004E4D44"/>
    <w:rsid w:val="004F0988"/>
    <w:rsid w:val="004F3340"/>
    <w:rsid w:val="004F3E3D"/>
    <w:rsid w:val="005078D3"/>
    <w:rsid w:val="0053388B"/>
    <w:rsid w:val="00535773"/>
    <w:rsid w:val="00543E6C"/>
    <w:rsid w:val="0055413F"/>
    <w:rsid w:val="0055585A"/>
    <w:rsid w:val="00565087"/>
    <w:rsid w:val="00572E14"/>
    <w:rsid w:val="00595C50"/>
    <w:rsid w:val="005973BE"/>
    <w:rsid w:val="005A5986"/>
    <w:rsid w:val="005C5ADE"/>
    <w:rsid w:val="005D2E01"/>
    <w:rsid w:val="005D6137"/>
    <w:rsid w:val="005D6DDA"/>
    <w:rsid w:val="005D7526"/>
    <w:rsid w:val="005E69AE"/>
    <w:rsid w:val="005F15D3"/>
    <w:rsid w:val="00602AEA"/>
    <w:rsid w:val="006047D6"/>
    <w:rsid w:val="00607E3C"/>
    <w:rsid w:val="00614FDF"/>
    <w:rsid w:val="00615481"/>
    <w:rsid w:val="00616B10"/>
    <w:rsid w:val="006246A7"/>
    <w:rsid w:val="0062595A"/>
    <w:rsid w:val="0063543D"/>
    <w:rsid w:val="00647114"/>
    <w:rsid w:val="00653558"/>
    <w:rsid w:val="00671888"/>
    <w:rsid w:val="006875C3"/>
    <w:rsid w:val="00687C93"/>
    <w:rsid w:val="0069301D"/>
    <w:rsid w:val="006A323F"/>
    <w:rsid w:val="006A3823"/>
    <w:rsid w:val="006B30D0"/>
    <w:rsid w:val="006B59E0"/>
    <w:rsid w:val="006C029E"/>
    <w:rsid w:val="006C3D95"/>
    <w:rsid w:val="006E5C86"/>
    <w:rsid w:val="006F2A00"/>
    <w:rsid w:val="00713C44"/>
    <w:rsid w:val="00734A5B"/>
    <w:rsid w:val="0074026F"/>
    <w:rsid w:val="007429F6"/>
    <w:rsid w:val="00744E76"/>
    <w:rsid w:val="00752198"/>
    <w:rsid w:val="00753881"/>
    <w:rsid w:val="00774DA4"/>
    <w:rsid w:val="00776CF3"/>
    <w:rsid w:val="00781F0F"/>
    <w:rsid w:val="00795FBD"/>
    <w:rsid w:val="007961F1"/>
    <w:rsid w:val="00797046"/>
    <w:rsid w:val="0079755B"/>
    <w:rsid w:val="007B5C1E"/>
    <w:rsid w:val="007B600E"/>
    <w:rsid w:val="007E7306"/>
    <w:rsid w:val="007F0F4A"/>
    <w:rsid w:val="007F71BD"/>
    <w:rsid w:val="008028A4"/>
    <w:rsid w:val="008029FB"/>
    <w:rsid w:val="00817778"/>
    <w:rsid w:val="00820B25"/>
    <w:rsid w:val="00830747"/>
    <w:rsid w:val="008768CA"/>
    <w:rsid w:val="008802E3"/>
    <w:rsid w:val="008A34FB"/>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D725E"/>
    <w:rsid w:val="009F37B7"/>
    <w:rsid w:val="009F5E43"/>
    <w:rsid w:val="00A10F02"/>
    <w:rsid w:val="00A164B4"/>
    <w:rsid w:val="00A16799"/>
    <w:rsid w:val="00A24DAA"/>
    <w:rsid w:val="00A26956"/>
    <w:rsid w:val="00A53724"/>
    <w:rsid w:val="00A73129"/>
    <w:rsid w:val="00A82346"/>
    <w:rsid w:val="00A8729C"/>
    <w:rsid w:val="00A92BA1"/>
    <w:rsid w:val="00AA6CE7"/>
    <w:rsid w:val="00AC6BC6"/>
    <w:rsid w:val="00AD6CD5"/>
    <w:rsid w:val="00AE3797"/>
    <w:rsid w:val="00AE56A6"/>
    <w:rsid w:val="00B15449"/>
    <w:rsid w:val="00B27FEE"/>
    <w:rsid w:val="00B300EC"/>
    <w:rsid w:val="00B44626"/>
    <w:rsid w:val="00B808FA"/>
    <w:rsid w:val="00B845A4"/>
    <w:rsid w:val="00B93086"/>
    <w:rsid w:val="00B96379"/>
    <w:rsid w:val="00BA19ED"/>
    <w:rsid w:val="00BA300B"/>
    <w:rsid w:val="00BA4B8D"/>
    <w:rsid w:val="00BC0F7D"/>
    <w:rsid w:val="00BE3255"/>
    <w:rsid w:val="00BF128E"/>
    <w:rsid w:val="00C06268"/>
    <w:rsid w:val="00C102F5"/>
    <w:rsid w:val="00C1496A"/>
    <w:rsid w:val="00C33079"/>
    <w:rsid w:val="00C45231"/>
    <w:rsid w:val="00C72833"/>
    <w:rsid w:val="00C80F1D"/>
    <w:rsid w:val="00C93F40"/>
    <w:rsid w:val="00CA3D0C"/>
    <w:rsid w:val="00CD1613"/>
    <w:rsid w:val="00CD555A"/>
    <w:rsid w:val="00CD71E9"/>
    <w:rsid w:val="00CF20E3"/>
    <w:rsid w:val="00D13723"/>
    <w:rsid w:val="00D13A1B"/>
    <w:rsid w:val="00D309CC"/>
    <w:rsid w:val="00D46431"/>
    <w:rsid w:val="00D47A6C"/>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604"/>
    <w:rsid w:val="00E52814"/>
    <w:rsid w:val="00E60495"/>
    <w:rsid w:val="00E72324"/>
    <w:rsid w:val="00E72511"/>
    <w:rsid w:val="00E72ABE"/>
    <w:rsid w:val="00E7367D"/>
    <w:rsid w:val="00E77645"/>
    <w:rsid w:val="00E91317"/>
    <w:rsid w:val="00EA1DF9"/>
    <w:rsid w:val="00EB370A"/>
    <w:rsid w:val="00EC4A25"/>
    <w:rsid w:val="00EE5AA7"/>
    <w:rsid w:val="00EE6554"/>
    <w:rsid w:val="00EE7E39"/>
    <w:rsid w:val="00F025A2"/>
    <w:rsid w:val="00F04712"/>
    <w:rsid w:val="00F21311"/>
    <w:rsid w:val="00F22EC7"/>
    <w:rsid w:val="00F325C8"/>
    <w:rsid w:val="00F477C6"/>
    <w:rsid w:val="00F56D37"/>
    <w:rsid w:val="00F62AEB"/>
    <w:rsid w:val="00F653B8"/>
    <w:rsid w:val="00F70647"/>
    <w:rsid w:val="00F81DF9"/>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cp:revision>
  <cp:lastPrinted>2019-02-25T14:05:00Z</cp:lastPrinted>
  <dcterms:created xsi:type="dcterms:W3CDTF">2025-09-05T14:39:00Z</dcterms:created>
  <dcterms:modified xsi:type="dcterms:W3CDTF">2025-09-09T03:46:00Z</dcterms:modified>
  <cp:category/>
</cp:coreProperties>
</file>